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D5" w:rsidRDefault="005A22D5" w:rsidP="005A22D5">
      <w:pPr>
        <w:jc w:val="center"/>
      </w:pPr>
      <w:r>
        <w:t>ІНФОРМАЦІЙНА КАРТКА</w:t>
      </w:r>
    </w:p>
    <w:p w:rsidR="005A22D5" w:rsidRDefault="005A22D5" w:rsidP="005A22D5">
      <w:pPr>
        <w:spacing w:after="0" w:line="240" w:lineRule="auto"/>
        <w:jc w:val="right"/>
      </w:pPr>
      <w:r>
        <w:t>ШИФР ПОСЛУГИ *</w:t>
      </w:r>
    </w:p>
    <w:p w:rsidR="005A22D5" w:rsidRPr="00D57612" w:rsidRDefault="005A22D5" w:rsidP="005A22D5">
      <w:pPr>
        <w:pStyle w:val="a4"/>
        <w:jc w:val="center"/>
        <w:rPr>
          <w:rFonts w:asciiTheme="minorHAnsi" w:hAnsiTheme="minorHAnsi"/>
          <w:bCs/>
          <w:sz w:val="28"/>
          <w:szCs w:val="28"/>
          <w:lang w:val="uk-UA"/>
        </w:rPr>
      </w:pPr>
      <w:r>
        <w:rPr>
          <w:rFonts w:asciiTheme="minorHAnsi" w:hAnsiTheme="minorHAnsi"/>
          <w:bCs/>
          <w:sz w:val="28"/>
          <w:szCs w:val="28"/>
          <w:lang w:val="uk-UA"/>
        </w:rPr>
        <w:t>Державна реєстрація</w:t>
      </w:r>
      <w:r w:rsidRPr="00E44F5E">
        <w:rPr>
          <w:rFonts w:ascii="Calibri" w:hAnsi="Calibri"/>
          <w:bCs/>
          <w:sz w:val="28"/>
          <w:szCs w:val="28"/>
        </w:rPr>
        <w:t xml:space="preserve"> </w:t>
      </w:r>
      <w:r>
        <w:rPr>
          <w:rFonts w:asciiTheme="minorHAnsi" w:hAnsiTheme="minorHAnsi"/>
          <w:bCs/>
          <w:sz w:val="28"/>
          <w:szCs w:val="28"/>
          <w:lang w:val="uk-UA"/>
        </w:rPr>
        <w:t>шлюбу</w:t>
      </w:r>
    </w:p>
    <w:p w:rsidR="005A22D5" w:rsidRPr="00E44F5E" w:rsidRDefault="005A22D5" w:rsidP="005A22D5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5A22D5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pacing w:after="0" w:line="240" w:lineRule="auto"/>
              <w:jc w:val="both"/>
            </w:pPr>
            <w:r>
              <w:t>Назва ЦНАП</w:t>
            </w:r>
          </w:p>
          <w:p w:rsidR="005A22D5" w:rsidRDefault="005A22D5" w:rsidP="000D0DBD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5A22D5" w:rsidRDefault="005A22D5" w:rsidP="000D0DBD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5A22D5" w:rsidRDefault="005A22D5" w:rsidP="000D0DBD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5A22D5" w:rsidRDefault="005A22D5" w:rsidP="000D0DBD">
            <w:pPr>
              <w:spacing w:after="0" w:line="240" w:lineRule="auto"/>
              <w:jc w:val="both"/>
            </w:pPr>
          </w:p>
        </w:tc>
      </w:tr>
      <w:tr w:rsidR="005A22D5" w:rsidRPr="000D434C" w:rsidTr="000D0DBD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Pr="0092093D" w:rsidRDefault="005A22D5" w:rsidP="000D0DBD">
            <w:pPr>
              <w:spacing w:after="0" w:line="240" w:lineRule="auto"/>
              <w:jc w:val="both"/>
            </w:pPr>
            <w:r>
              <w:t xml:space="preserve">1. </w:t>
            </w:r>
            <w:r>
              <w:rPr>
                <w:b/>
              </w:rPr>
              <w:t>З</w:t>
            </w:r>
            <w:r w:rsidRPr="000E6754">
              <w:rPr>
                <w:b/>
              </w:rPr>
              <w:t>аява про державну реєстрацію шлюбу</w:t>
            </w:r>
            <w:r>
              <w:rPr>
                <w:b/>
              </w:rPr>
              <w:t xml:space="preserve"> </w:t>
            </w:r>
            <w:r w:rsidRPr="00E744D5">
              <w:t>(</w:t>
            </w:r>
            <w:r w:rsidRPr="0044010C">
              <w:t>встановленого</w:t>
            </w:r>
            <w:r w:rsidRPr="00E744D5">
              <w:t xml:space="preserve"> зразка),</w:t>
            </w:r>
            <w:r>
              <w:rPr>
                <w:b/>
              </w:rPr>
              <w:t xml:space="preserve"> подана особисто</w:t>
            </w:r>
            <w:r w:rsidRPr="000E6754">
              <w:t xml:space="preserve"> </w:t>
            </w:r>
            <w:r w:rsidRPr="0092093D">
              <w:t>жінкою та чоловіком особисто до органу державної реєстрації актів цивільного стану за їх вибором.</w:t>
            </w:r>
          </w:p>
          <w:p w:rsidR="005A22D5" w:rsidRPr="000E6754" w:rsidRDefault="005A22D5" w:rsidP="000D0DBD">
            <w:pPr>
              <w:spacing w:after="0" w:line="240" w:lineRule="auto"/>
              <w:jc w:val="both"/>
            </w:pPr>
            <w:bookmarkStart w:id="0" w:name="n226"/>
            <w:bookmarkEnd w:id="0"/>
            <w:r>
              <w:t xml:space="preserve">1.1. </w:t>
            </w:r>
            <w:r w:rsidRPr="0092093D">
              <w:t>Якщо жінка і (або) чоловік не можуть через поважні причини особисто подати заяву про державну реєстрацію шлюбу до органу державної реєстрації актів цивільного стану, таку заяву, справжність підпису(</w:t>
            </w:r>
            <w:proofErr w:type="spellStart"/>
            <w:r w:rsidRPr="0092093D">
              <w:t>ів</w:t>
            </w:r>
            <w:proofErr w:type="spellEnd"/>
            <w:r w:rsidRPr="0092093D">
              <w:t>) на якій засвідчено нотаріально, можуть подати їх представники. Повноваження представника мають ґрунтуватися на нотаріально посвідченій довіреності</w:t>
            </w:r>
            <w:r w:rsidRPr="000E6754">
              <w:t>;</w:t>
            </w:r>
          </w:p>
          <w:p w:rsidR="005A22D5" w:rsidRPr="0092093D" w:rsidRDefault="005A22D5" w:rsidP="000D0DBD">
            <w:pPr>
              <w:spacing w:after="0" w:line="240" w:lineRule="auto"/>
              <w:jc w:val="both"/>
              <w:rPr>
                <w:i/>
              </w:rPr>
            </w:pPr>
            <w:r>
              <w:rPr>
                <w:lang w:val="ru-RU"/>
              </w:rPr>
              <w:t xml:space="preserve">Але </w:t>
            </w:r>
            <w:proofErr w:type="spellStart"/>
            <w:r>
              <w:rPr>
                <w:lang w:val="ru-RU"/>
              </w:rPr>
              <w:t>п</w:t>
            </w:r>
            <w:r>
              <w:t>ри</w:t>
            </w:r>
            <w:proofErr w:type="spellEnd"/>
            <w:r>
              <w:t xml:space="preserve"> цьому: </w:t>
            </w:r>
            <w:r w:rsidRPr="0092093D">
              <w:rPr>
                <w:i/>
              </w:rPr>
              <w:t>Державна реєстрація шлюбу проводиться у присутності нареченої та нареченого.</w:t>
            </w:r>
            <w:bookmarkStart w:id="1" w:name="n270"/>
            <w:bookmarkEnd w:id="1"/>
            <w:r>
              <w:rPr>
                <w:i/>
              </w:rPr>
              <w:t xml:space="preserve"> </w:t>
            </w:r>
            <w:r w:rsidRPr="0092093D">
              <w:rPr>
                <w:i/>
              </w:rPr>
              <w:t>Державна реєстрація шлюбу через представника не допускається</w:t>
            </w:r>
            <w:r w:rsidRPr="0092093D">
              <w:t>.</w:t>
            </w:r>
          </w:p>
          <w:p w:rsidR="005A22D5" w:rsidRPr="005235B6" w:rsidRDefault="005A22D5" w:rsidP="000D0DBD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5A22D5" w:rsidRPr="000E6754" w:rsidRDefault="005A22D5" w:rsidP="000D0DBD">
            <w:pPr>
              <w:spacing w:after="0" w:line="240" w:lineRule="auto"/>
              <w:jc w:val="both"/>
            </w:pPr>
            <w:r>
              <w:t xml:space="preserve">2. </w:t>
            </w:r>
            <w:r>
              <w:rPr>
                <w:b/>
              </w:rPr>
              <w:t>П</w:t>
            </w:r>
            <w:r w:rsidRPr="000E6754">
              <w:rPr>
                <w:b/>
              </w:rPr>
              <w:t>аспорт</w:t>
            </w:r>
            <w:r>
              <w:rPr>
                <w:b/>
              </w:rPr>
              <w:t>и</w:t>
            </w:r>
            <w:r w:rsidRPr="000E6754">
              <w:rPr>
                <w:b/>
              </w:rPr>
              <w:t xml:space="preserve"> </w:t>
            </w:r>
            <w:proofErr w:type="spellStart"/>
            <w:r w:rsidRPr="000E6754">
              <w:rPr>
                <w:b/>
              </w:rPr>
              <w:t>громадя</w:t>
            </w:r>
            <w:r>
              <w:rPr>
                <w:b/>
                <w:lang w:val="ru-RU"/>
              </w:rPr>
              <w:t>н</w:t>
            </w:r>
            <w:proofErr w:type="spellEnd"/>
            <w:r w:rsidRPr="000E6754">
              <w:rPr>
                <w:b/>
              </w:rPr>
              <w:t xml:space="preserve"> України</w:t>
            </w:r>
            <w:r w:rsidRPr="000E6754">
              <w:t xml:space="preserve"> (паспортн</w:t>
            </w:r>
            <w:r>
              <w:t>і</w:t>
            </w:r>
            <w:r w:rsidRPr="000E6754">
              <w:t xml:space="preserve"> документ</w:t>
            </w:r>
            <w:r>
              <w:t>и</w:t>
            </w:r>
            <w:r w:rsidRPr="000E6754">
              <w:t xml:space="preserve"> іноземця, особи без громадянства)</w:t>
            </w:r>
            <w:r>
              <w:t xml:space="preserve"> жінки та чоловіка</w:t>
            </w:r>
            <w:r w:rsidRPr="000E6754">
              <w:t>;</w:t>
            </w:r>
          </w:p>
          <w:p w:rsidR="005A22D5" w:rsidRDefault="005A22D5" w:rsidP="000D0DBD">
            <w:pPr>
              <w:spacing w:after="0" w:line="240" w:lineRule="auto"/>
              <w:jc w:val="both"/>
            </w:pPr>
            <w:r>
              <w:t xml:space="preserve">3. </w:t>
            </w:r>
            <w:r>
              <w:rPr>
                <w:b/>
              </w:rPr>
              <w:t>Д</w:t>
            </w:r>
            <w:r w:rsidRPr="00F02548">
              <w:rPr>
                <w:b/>
              </w:rPr>
              <w:t>окумент</w:t>
            </w:r>
            <w:r w:rsidRPr="000E6754">
              <w:t xml:space="preserve">, що підтверджує </w:t>
            </w:r>
            <w:r w:rsidRPr="00F02548">
              <w:rPr>
                <w:b/>
              </w:rPr>
              <w:t>сплату державного мита</w:t>
            </w:r>
            <w:r w:rsidRPr="000E6754">
              <w:t xml:space="preserve"> або документ, що підтверджує </w:t>
            </w:r>
            <w:r w:rsidRPr="00F02548">
              <w:rPr>
                <w:b/>
              </w:rPr>
              <w:t>право на звільнення від сплати</w:t>
            </w:r>
            <w:r w:rsidRPr="000E6754">
              <w:t xml:space="preserve"> </w:t>
            </w:r>
            <w:r w:rsidRPr="00F02548">
              <w:rPr>
                <w:b/>
              </w:rPr>
              <w:t>державного мита</w:t>
            </w:r>
            <w:r w:rsidRPr="000E6754">
              <w:t>;</w:t>
            </w:r>
          </w:p>
          <w:p w:rsidR="005A22D5" w:rsidRDefault="005A22D5" w:rsidP="000D0DBD">
            <w:pPr>
              <w:spacing w:after="0" w:line="240" w:lineRule="auto"/>
              <w:jc w:val="both"/>
              <w:rPr>
                <w:bCs/>
                <w:lang w:val="en-US"/>
              </w:rPr>
            </w:pPr>
          </w:p>
          <w:p w:rsidR="005A22D5" w:rsidRDefault="005A22D5" w:rsidP="000D0DBD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ПРИ ПОТРЕБІ:</w:t>
            </w:r>
          </w:p>
          <w:p w:rsidR="005A22D5" w:rsidRPr="000E6754" w:rsidRDefault="005A22D5" w:rsidP="000D0DBD">
            <w:pPr>
              <w:spacing w:after="0" w:line="240" w:lineRule="auto"/>
              <w:jc w:val="both"/>
            </w:pPr>
            <w:r>
              <w:rPr>
                <w:b/>
              </w:rPr>
              <w:t xml:space="preserve">4. </w:t>
            </w:r>
            <w:r>
              <w:rPr>
                <w:b/>
                <w:lang w:val="ru-RU"/>
              </w:rPr>
              <w:t>Д</w:t>
            </w:r>
            <w:proofErr w:type="spellStart"/>
            <w:r w:rsidRPr="000E6754">
              <w:rPr>
                <w:b/>
              </w:rPr>
              <w:t>окумент</w:t>
            </w:r>
            <w:proofErr w:type="spellEnd"/>
            <w:r w:rsidRPr="000E6754">
              <w:rPr>
                <w:b/>
              </w:rPr>
              <w:t xml:space="preserve">, що </w:t>
            </w:r>
            <w:proofErr w:type="gramStart"/>
            <w:r w:rsidRPr="000E6754">
              <w:rPr>
                <w:b/>
              </w:rPr>
              <w:t>п</w:t>
            </w:r>
            <w:proofErr w:type="gramEnd"/>
            <w:r w:rsidRPr="000E6754">
              <w:rPr>
                <w:b/>
              </w:rPr>
              <w:t>ідтверджує припинення попереднього шлюбу</w:t>
            </w:r>
            <w:r w:rsidRPr="000E6754">
              <w:t xml:space="preserve"> (якщо шлюб повторний);</w:t>
            </w:r>
          </w:p>
          <w:p w:rsidR="005A22D5" w:rsidRPr="000E6754" w:rsidRDefault="005A22D5" w:rsidP="000D0DBD">
            <w:pPr>
              <w:spacing w:after="0" w:line="240" w:lineRule="auto"/>
              <w:jc w:val="both"/>
            </w:pPr>
            <w:r>
              <w:rPr>
                <w:bCs/>
              </w:rPr>
              <w:t xml:space="preserve">5. </w:t>
            </w:r>
            <w:proofErr w:type="gramStart"/>
            <w:r>
              <w:rPr>
                <w:b/>
                <w:bCs/>
                <w:lang w:val="ru-RU"/>
              </w:rPr>
              <w:t>Р</w:t>
            </w:r>
            <w:proofErr w:type="spellStart"/>
            <w:proofErr w:type="gramEnd"/>
            <w:r w:rsidRPr="00F02548">
              <w:rPr>
                <w:b/>
                <w:bCs/>
              </w:rPr>
              <w:t>ішення</w:t>
            </w:r>
            <w:proofErr w:type="spellEnd"/>
            <w:r w:rsidRPr="00F02548">
              <w:rPr>
                <w:b/>
                <w:bCs/>
              </w:rPr>
              <w:t xml:space="preserve"> суду про зниження шлюбного віку</w:t>
            </w:r>
            <w:r w:rsidRPr="000E6754">
              <w:rPr>
                <w:bCs/>
              </w:rPr>
              <w:t xml:space="preserve"> (у разі звернення осіб віком 16-17 років);</w:t>
            </w:r>
          </w:p>
          <w:p w:rsidR="005A22D5" w:rsidRPr="000E6754" w:rsidRDefault="005A22D5" w:rsidP="000D0DBD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6. </w:t>
            </w:r>
            <w:r>
              <w:rPr>
                <w:b/>
                <w:bCs/>
                <w:lang w:val="ru-RU"/>
              </w:rPr>
              <w:t>Д</w:t>
            </w:r>
            <w:proofErr w:type="spellStart"/>
            <w:r w:rsidRPr="00F02548">
              <w:rPr>
                <w:b/>
                <w:bCs/>
              </w:rPr>
              <w:t>окумент</w:t>
            </w:r>
            <w:proofErr w:type="spellEnd"/>
            <w:r w:rsidRPr="00F02548">
              <w:rPr>
                <w:b/>
                <w:bCs/>
              </w:rPr>
              <w:t xml:space="preserve">, що </w:t>
            </w:r>
            <w:proofErr w:type="gramStart"/>
            <w:r w:rsidRPr="00F02548">
              <w:rPr>
                <w:b/>
                <w:bCs/>
              </w:rPr>
              <w:t>п</w:t>
            </w:r>
            <w:proofErr w:type="gramEnd"/>
            <w:r w:rsidRPr="00F02548">
              <w:rPr>
                <w:b/>
                <w:bCs/>
              </w:rPr>
              <w:t>ідтверджує причину скорочення строку державної реєстрації шлюбу</w:t>
            </w:r>
            <w:r w:rsidRPr="000E6754">
              <w:rPr>
                <w:bCs/>
              </w:rPr>
              <w:t xml:space="preserve"> (у разі порушення суб’єктом звернення питання державної реєстрації шлюбу до спливу місячного строку).</w:t>
            </w:r>
          </w:p>
        </w:tc>
      </w:tr>
      <w:tr w:rsidR="005A22D5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078" w:rsidRDefault="00560078" w:rsidP="000D0DBD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Платно. </w:t>
            </w:r>
          </w:p>
          <w:p w:rsidR="005A22D5" w:rsidRPr="0044010C" w:rsidRDefault="005A22D5" w:rsidP="000D0DBD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44010C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Державне мито у розмірі </w:t>
            </w:r>
            <w:r w:rsidRPr="0044010C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uk-UA"/>
              </w:rPr>
              <w:t>0,05 неоподаткованого мінімуму</w:t>
            </w:r>
            <w:r w:rsidRPr="0044010C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 доходів громадян (</w:t>
            </w:r>
            <w:r w:rsidRPr="0044010C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uk-UA"/>
              </w:rPr>
              <w:t>85 копійок</w:t>
            </w:r>
            <w:r w:rsidRPr="0044010C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). </w:t>
            </w:r>
          </w:p>
          <w:p w:rsidR="005A22D5" w:rsidRPr="0044010C" w:rsidRDefault="005A22D5" w:rsidP="005A22D5">
            <w:pPr>
              <w:pStyle w:val="a5"/>
              <w:suppressLineNumbers/>
              <w:suppressAutoHyphens/>
              <w:spacing w:before="0" w:beforeAutospacing="0" w:after="0" w:afterAutospacing="0"/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Від</w:t>
            </w:r>
            <w:proofErr w:type="spellEnd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сплати</w:t>
            </w:r>
            <w:proofErr w:type="spellEnd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державного </w:t>
            </w: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мита</w:t>
            </w:r>
            <w:proofErr w:type="spellEnd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звільняються</w:t>
            </w:r>
            <w:proofErr w:type="spellEnd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категорії</w:t>
            </w:r>
            <w:proofErr w:type="spellEnd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>громадян</w:t>
            </w:r>
            <w:proofErr w:type="spellEnd"/>
            <w:r w:rsidR="0044010C" w:rsidRPr="0044010C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>:</w:t>
            </w:r>
          </w:p>
          <w:p w:rsidR="005A22D5" w:rsidRPr="0044010C" w:rsidRDefault="005A22D5" w:rsidP="005A22D5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громадяни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віднесені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до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першої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другої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категорій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постраждалих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внаслідок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Чорнобильської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катастрофи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; </w:t>
            </w:r>
          </w:p>
          <w:p w:rsidR="005A22D5" w:rsidRPr="0044010C" w:rsidRDefault="005A22D5" w:rsidP="005A22D5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</w:pPr>
            <w:proofErr w:type="gram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громадяни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віднесені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до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третьої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категорії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постраждалих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внаслідок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Чорнобильської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катастрофи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які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постійно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проживають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до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відселення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самостійного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переселення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постійно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працюють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території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зон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відчуження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безумовного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обов'язкового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гарантованого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добровільного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відселення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за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умови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вони за станом на 1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січня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1993 року прожили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відпрацювали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зоні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безумовного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обов'язкового</w:t>
            </w:r>
            <w:proofErr w:type="spellEnd"/>
            <w:proofErr w:type="gram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відселення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менше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двох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років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а у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зоні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гарантованого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добровільного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відселення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менше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трьох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рокі</w:t>
            </w:r>
            <w:proofErr w:type="gram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; </w:t>
            </w:r>
          </w:p>
          <w:p w:rsidR="005A22D5" w:rsidRPr="0044010C" w:rsidRDefault="005A22D5" w:rsidP="005A22D5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</w:pPr>
            <w:proofErr w:type="gramStart"/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громадяни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віднесені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до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четвертої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категорії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потерпілих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внаслідок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Чорнобильської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катастрофи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які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постійно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працюють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проживають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постійно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проживають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території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зони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посиленого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радіоекологічного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контролю, за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умови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за станом на 1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січня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1993 року вони прожили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або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відпрацювали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цій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зоні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менше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чотирьох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років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; </w:t>
            </w:r>
            <w:proofErr w:type="gramEnd"/>
          </w:p>
          <w:p w:rsidR="005A22D5" w:rsidRPr="0044010C" w:rsidRDefault="005A22D5" w:rsidP="005A22D5">
            <w:pPr>
              <w:pStyle w:val="a5"/>
              <w:spacing w:before="0" w:beforeAutospacing="0" w:after="0" w:afterAutospacing="0"/>
              <w:jc w:val="both"/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інваліди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Велико</w:t>
            </w:r>
            <w:proofErr w:type="gram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ітчизняної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війни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сім'ї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воїнів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партизанів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які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загинули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чи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пропали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безвісти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прирівняні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до них у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встановленому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порядку особи; </w:t>
            </w:r>
          </w:p>
          <w:p w:rsidR="005A22D5" w:rsidRPr="0044010C" w:rsidRDefault="005A22D5" w:rsidP="005A22D5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color w:val="000000" w:themeColor="text1"/>
                <w:sz w:val="18"/>
                <w:szCs w:val="18"/>
                <w:lang w:val="uk-UA"/>
              </w:rPr>
            </w:pPr>
            <w:r w:rsidRPr="0044010C">
              <w:rPr>
                <w:rStyle w:val="a6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інваліди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I та II </w:t>
            </w:r>
            <w:proofErr w:type="spellStart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групи</w:t>
            </w:r>
            <w:proofErr w:type="spellEnd"/>
            <w:r w:rsidRPr="0044010C">
              <w:rPr>
                <w:rStyle w:val="a6"/>
                <w:rFonts w:asciiTheme="minorHAnsi" w:hAnsiTheme="minorHAns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Pr="0044010C">
              <w:rPr>
                <w:rFonts w:asciiTheme="minorHAnsi" w:hAnsiTheme="minorHAnsi"/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</w:tr>
      <w:tr w:rsidR="005A22D5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Pr="0044010C" w:rsidRDefault="005A22D5" w:rsidP="000D0DBD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44010C">
              <w:rPr>
                <w:color w:val="000000" w:themeColor="text1"/>
              </w:rPr>
              <w:t xml:space="preserve">1. Свідоцтво </w:t>
            </w:r>
            <w:r w:rsidRPr="0044010C">
              <w:rPr>
                <w:bCs/>
                <w:color w:val="000000" w:themeColor="text1"/>
              </w:rPr>
              <w:t>про шлюб.</w:t>
            </w:r>
          </w:p>
          <w:p w:rsidR="005A22D5" w:rsidRPr="0044010C" w:rsidRDefault="005A22D5" w:rsidP="000D0DBD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44010C">
              <w:rPr>
                <w:bCs/>
                <w:color w:val="000000" w:themeColor="text1"/>
              </w:rPr>
              <w:t xml:space="preserve">2. Про  державну  реєстрацію  шлюбу в паспортах громадянина </w:t>
            </w:r>
            <w:r w:rsidRPr="0044010C">
              <w:rPr>
                <w:bCs/>
                <w:color w:val="000000" w:themeColor="text1"/>
              </w:rPr>
              <w:br/>
              <w:t xml:space="preserve">України   осіб,  які  зареєстрували  шлюб,  робиться  відмітка  із </w:t>
            </w:r>
            <w:r w:rsidRPr="0044010C">
              <w:rPr>
                <w:bCs/>
                <w:color w:val="000000" w:themeColor="text1"/>
              </w:rPr>
              <w:br/>
              <w:t>зазначенням прізвища, імені, по батькові і року народження другого з подружжя та місця і дати такої реєстрації.</w:t>
            </w:r>
          </w:p>
        </w:tc>
      </w:tr>
      <w:tr w:rsidR="005A22D5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Pr="0044010C" w:rsidRDefault="005A22D5" w:rsidP="000D0DBD">
            <w:pPr>
              <w:snapToGrid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ar-SA"/>
              </w:rPr>
            </w:pPr>
            <w:r w:rsidRPr="0044010C">
              <w:rPr>
                <w:bCs/>
                <w:color w:val="000000" w:themeColor="text1"/>
              </w:rPr>
              <w:t xml:space="preserve">Шлюб реєструється </w:t>
            </w:r>
            <w:r w:rsidRPr="0044010C">
              <w:rPr>
                <w:b/>
                <w:bCs/>
                <w:color w:val="000000" w:themeColor="text1"/>
              </w:rPr>
              <w:t>після спливу одного місяця</w:t>
            </w:r>
            <w:r w:rsidRPr="0044010C">
              <w:rPr>
                <w:bCs/>
                <w:color w:val="000000" w:themeColor="text1"/>
              </w:rPr>
              <w:t xml:space="preserve"> від дня подання особами заяви про реєстрацію шлюбу.</w:t>
            </w:r>
          </w:p>
          <w:p w:rsidR="005A22D5" w:rsidRPr="0044010C" w:rsidRDefault="005A22D5" w:rsidP="000D0DBD">
            <w:pPr>
              <w:snapToGrid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ru-RU" w:eastAsia="ar-SA"/>
              </w:rPr>
            </w:pPr>
            <w:bookmarkStart w:id="2" w:name="n182"/>
            <w:bookmarkEnd w:id="2"/>
            <w:r w:rsidRPr="0044010C">
              <w:rPr>
                <w:bCs/>
                <w:i/>
                <w:color w:val="000000" w:themeColor="text1"/>
              </w:rPr>
              <w:t>За наявності поважних причин керівник органу державної реєстрації актів цивільного стану дозволяє реєстрацію шлюбу до спливу цього строку.</w:t>
            </w:r>
          </w:p>
          <w:p w:rsidR="005A22D5" w:rsidRPr="0044010C" w:rsidRDefault="005A22D5" w:rsidP="000D0DBD">
            <w:pPr>
              <w:snapToGrid w:val="0"/>
              <w:spacing w:after="0" w:line="240" w:lineRule="auto"/>
              <w:ind w:right="144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bookmarkStart w:id="3" w:name="n183"/>
            <w:bookmarkEnd w:id="3"/>
            <w:r w:rsidRPr="0044010C">
              <w:rPr>
                <w:bCs/>
                <w:i/>
                <w:color w:val="000000" w:themeColor="text1"/>
              </w:rPr>
              <w:t>У разі вагітності нареченої, народження нею дитини, а також якщо є безпосередня загроза для життя нареченої або нареченого, шлюб реєструється у день подання відповідної заяви або у будь-який інший день за бажанням наречених протягом одного місяця.</w:t>
            </w:r>
            <w:bookmarkStart w:id="4" w:name="n260"/>
            <w:bookmarkStart w:id="5" w:name="n261"/>
            <w:bookmarkEnd w:id="4"/>
            <w:bookmarkEnd w:id="5"/>
          </w:p>
        </w:tc>
      </w:tr>
      <w:tr w:rsidR="005A22D5" w:rsidRPr="009C4280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bCs/>
              </w:rPr>
              <w:t>О</w:t>
            </w:r>
            <w:r w:rsidRPr="00E744D5">
              <w:rPr>
                <w:bCs/>
              </w:rPr>
              <w:t>собисто</w:t>
            </w:r>
          </w:p>
        </w:tc>
      </w:tr>
      <w:tr w:rsidR="005A22D5" w:rsidTr="000D0D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2D5" w:rsidRDefault="005A22D5" w:rsidP="000D0DBD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2D5" w:rsidRPr="00F02548" w:rsidRDefault="005A22D5" w:rsidP="005A22D5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>Сімейний кодекс України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(статті 27-37).</w:t>
            </w:r>
          </w:p>
          <w:p w:rsidR="005A22D5" w:rsidRPr="00F02548" w:rsidRDefault="005A22D5" w:rsidP="000D0DBD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2. </w:t>
            </w: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>Закон України «Про державну реєстрацію актів цивільного стану»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(стаття 14) </w:t>
            </w:r>
          </w:p>
          <w:p w:rsidR="005A22D5" w:rsidRPr="00F02548" w:rsidRDefault="005A22D5" w:rsidP="0044010C">
            <w:pPr>
              <w:pStyle w:val="a5"/>
              <w:spacing w:before="0" w:beforeAutospacing="0" w:after="0" w:afterAutospacing="0"/>
              <w:ind w:left="34"/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3</w:t>
            </w: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>. Декрет Кабінету Міністрів України   від 21.01.1993 № 7-93 «Про державне мито»</w:t>
            </w:r>
          </w:p>
          <w:p w:rsidR="005A22D5" w:rsidRPr="00E44F5E" w:rsidRDefault="005A22D5" w:rsidP="0044010C">
            <w:pPr>
              <w:pStyle w:val="a5"/>
              <w:spacing w:before="0" w:beforeAutospacing="0" w:after="0" w:afterAutospacing="0"/>
              <w:ind w:left="34"/>
              <w:jc w:val="both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4</w:t>
            </w: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. Правила державної реєстрації актів цивільного стану в Україні, затверджені наказом Міністерства юстиції   від 18.10.2000 № 52/5 (у редакції наказу Міністерства юстиції України від 24.12.2010      № 3307/5). </w:t>
            </w:r>
            <w:bookmarkStart w:id="6" w:name="_GoBack"/>
            <w:bookmarkEnd w:id="6"/>
          </w:p>
        </w:tc>
      </w:tr>
    </w:tbl>
    <w:p w:rsidR="005A22D5" w:rsidRDefault="005A22D5" w:rsidP="005A22D5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A22D5" w:rsidRDefault="005A22D5" w:rsidP="005A22D5">
      <w:pPr>
        <w:spacing w:after="0" w:line="240" w:lineRule="auto"/>
      </w:pPr>
    </w:p>
    <w:p w:rsidR="00B95963" w:rsidRDefault="00B95963"/>
    <w:sectPr w:rsidR="00B95963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BAC"/>
    <w:multiLevelType w:val="hybridMultilevel"/>
    <w:tmpl w:val="92C047E4"/>
    <w:lvl w:ilvl="0" w:tplc="3978FB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3" w:hanging="360"/>
      </w:pPr>
    </w:lvl>
    <w:lvl w:ilvl="2" w:tplc="0422001B" w:tentative="1">
      <w:start w:val="1"/>
      <w:numFmt w:val="lowerRoman"/>
      <w:lvlText w:val="%3."/>
      <w:lvlJc w:val="right"/>
      <w:pPr>
        <w:ind w:left="1833" w:hanging="180"/>
      </w:pPr>
    </w:lvl>
    <w:lvl w:ilvl="3" w:tplc="0422000F" w:tentative="1">
      <w:start w:val="1"/>
      <w:numFmt w:val="decimal"/>
      <w:lvlText w:val="%4."/>
      <w:lvlJc w:val="left"/>
      <w:pPr>
        <w:ind w:left="2553" w:hanging="360"/>
      </w:pPr>
    </w:lvl>
    <w:lvl w:ilvl="4" w:tplc="04220019" w:tentative="1">
      <w:start w:val="1"/>
      <w:numFmt w:val="lowerLetter"/>
      <w:lvlText w:val="%5."/>
      <w:lvlJc w:val="left"/>
      <w:pPr>
        <w:ind w:left="3273" w:hanging="360"/>
      </w:pPr>
    </w:lvl>
    <w:lvl w:ilvl="5" w:tplc="0422001B" w:tentative="1">
      <w:start w:val="1"/>
      <w:numFmt w:val="lowerRoman"/>
      <w:lvlText w:val="%6."/>
      <w:lvlJc w:val="right"/>
      <w:pPr>
        <w:ind w:left="3993" w:hanging="180"/>
      </w:pPr>
    </w:lvl>
    <w:lvl w:ilvl="6" w:tplc="0422000F" w:tentative="1">
      <w:start w:val="1"/>
      <w:numFmt w:val="decimal"/>
      <w:lvlText w:val="%7."/>
      <w:lvlJc w:val="left"/>
      <w:pPr>
        <w:ind w:left="4713" w:hanging="360"/>
      </w:pPr>
    </w:lvl>
    <w:lvl w:ilvl="7" w:tplc="04220019" w:tentative="1">
      <w:start w:val="1"/>
      <w:numFmt w:val="lowerLetter"/>
      <w:lvlText w:val="%8."/>
      <w:lvlJc w:val="left"/>
      <w:pPr>
        <w:ind w:left="5433" w:hanging="360"/>
      </w:pPr>
    </w:lvl>
    <w:lvl w:ilvl="8" w:tplc="0422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A22D5"/>
    <w:rsid w:val="00125D9E"/>
    <w:rsid w:val="003B5BD7"/>
    <w:rsid w:val="0044010C"/>
    <w:rsid w:val="00560078"/>
    <w:rsid w:val="005A22D5"/>
    <w:rsid w:val="00B9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2D5"/>
    <w:pPr>
      <w:ind w:left="720"/>
      <w:contextualSpacing/>
    </w:pPr>
  </w:style>
  <w:style w:type="paragraph" w:customStyle="1" w:styleId="a4">
    <w:name w:val="Содержимое таблицы"/>
    <w:basedOn w:val="a"/>
    <w:rsid w:val="005A22D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5A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ubtle Emphasis"/>
    <w:basedOn w:val="a0"/>
    <w:uiPriority w:val="19"/>
    <w:qFormat/>
    <w:rsid w:val="005A22D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54C3A-799F-44BD-B7CB-8E86E69506E4}"/>
</file>

<file path=customXml/itemProps2.xml><?xml version="1.0" encoding="utf-8"?>
<ds:datastoreItem xmlns:ds="http://schemas.openxmlformats.org/officeDocument/2006/customXml" ds:itemID="{0C950EF1-1105-4DD3-86F7-4C51E3910CB2}"/>
</file>

<file path=customXml/itemProps3.xml><?xml version="1.0" encoding="utf-8"?>
<ds:datastoreItem xmlns:ds="http://schemas.openxmlformats.org/officeDocument/2006/customXml" ds:itemID="{6723E4A0-4609-44EA-8469-D24ED5FE5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2717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4</cp:revision>
  <dcterms:created xsi:type="dcterms:W3CDTF">2016-08-03T07:30:00Z</dcterms:created>
  <dcterms:modified xsi:type="dcterms:W3CDTF">2016-08-09T07:21:00Z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